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8FD" w:rsidRDefault="00F278FD" w:rsidP="00F278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Załącznik Nr 1 do PFU</w:t>
      </w:r>
    </w:p>
    <w:p w:rsidR="00F278FD" w:rsidRPr="00046549" w:rsidRDefault="00F278FD" w:rsidP="00F278FD">
      <w:pPr>
        <w:pStyle w:val="Default"/>
        <w:jc w:val="both"/>
        <w:rPr>
          <w:b/>
        </w:rPr>
      </w:pPr>
      <w:r w:rsidRPr="00046549">
        <w:rPr>
          <w:b/>
        </w:rPr>
        <w:t xml:space="preserve">Wymagania </w:t>
      </w:r>
      <w:r>
        <w:rPr>
          <w:b/>
        </w:rPr>
        <w:t xml:space="preserve">dotyczące </w:t>
      </w:r>
      <w:r w:rsidRPr="00046549">
        <w:rPr>
          <w:b/>
        </w:rPr>
        <w:t>Instalacji Klimatyzacji</w:t>
      </w:r>
    </w:p>
    <w:p w:rsidR="00F278FD" w:rsidRDefault="00F278FD" w:rsidP="00F278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obejmuje prace instalacyjno-budowlane, mające na celu wykonanie instalacji klimatyzacyjnej w sali kinowej wraz z zainstalowaniem centrali klimatyzacyjnej wewnątrz budynku. W ramach realizacji zamówienia należy przygotować dokumentacje projektową. </w:t>
      </w:r>
    </w:p>
    <w:p w:rsidR="00F278FD" w:rsidRDefault="00F278FD" w:rsidP="00F278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Zakres robót obejmuje następujące kategorie robót: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wykonanie instalacji klimatyzacyjnej opartej o powietrzne pompy ciepła (wbudowane wewnątrz centrali wentylacyjnej) w sali kinowej. Instalacja nie będzie korzystać z żadnych zewnętrznych mediów oprócz energii elektrycznej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>centrala wentylacyjna zainstalowana wewnątrz budynku ma być wyposażona w odwracalną pompę ciepła typu powietrze-powietrze z układem chłodniczym o płynnej regulacji mocy grzewczej i chłodniczej. Współczynnik COP dla zimy minimum 5,3 oraz EER dla lata minimum 4,3. Pompa ciepła musi pracować efektywnie w zakresie temperatury zewnętrznej -24</w:t>
      </w:r>
      <w:r w:rsidRPr="00046549">
        <w:rPr>
          <w:sz w:val="14"/>
          <w:szCs w:val="14"/>
        </w:rPr>
        <w:t>o</w:t>
      </w:r>
      <w:r w:rsidRPr="00046549">
        <w:rPr>
          <w:sz w:val="22"/>
          <w:szCs w:val="22"/>
        </w:rPr>
        <w:t>C do +35</w:t>
      </w:r>
      <w:r w:rsidRPr="00046549">
        <w:rPr>
          <w:sz w:val="14"/>
          <w:szCs w:val="14"/>
        </w:rPr>
        <w:t>o</w:t>
      </w:r>
      <w:r w:rsidRPr="00046549">
        <w:rPr>
          <w:sz w:val="22"/>
          <w:szCs w:val="22"/>
        </w:rPr>
        <w:t xml:space="preserve">C. Ponadto centrala musi spełniać następujące parametry techniczne: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obudowa centrali izolowaną pianką poliuretanową o gęstości minimum 40kg/m3 i współczynniku przenikania ciepła minimum 0,55 W/m2K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wysokosprawne wentylatory z silnikami EC o płynnej regulacji wydajności (płynne dostosowanie mocy do stanu zabrudzenia filtrów)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rozdzielnicę zasilająco-sterującą wbudowaną w centralę (okablowanie wewnątrz centrali) z możliwością zdalnej obsługi gwarancyjnej przez serwis fabryczny polegający na codziennej kontroli poprawności pracy centrali z powiadomieniem administratora budynku o zaistniałej sytuacji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wysokosprawny aluminiowy wymiennik obrotowy do odzysku ciepła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posiadać następujące certyfikaty: Atest higieniczny PZH, oznaczenie CE , Indeksowane oznaczenie </w:t>
      </w:r>
      <w:proofErr w:type="spellStart"/>
      <w:r w:rsidRPr="00046549">
        <w:rPr>
          <w:sz w:val="22"/>
          <w:szCs w:val="22"/>
        </w:rPr>
        <w:t>CExxx</w:t>
      </w:r>
      <w:proofErr w:type="spellEnd"/>
      <w:r w:rsidRPr="00046549">
        <w:rPr>
          <w:sz w:val="22"/>
          <w:szCs w:val="22"/>
        </w:rPr>
        <w:t xml:space="preserve"> urządzeń wraz z numerem uprawnień zgodnie z Dyrektywą ciśnieniową (PED) 2014/68/UE, certyfikat TUV lub innej akredytowanej jednostki odnośnie zgodności urządzeń z wymogami norm PN-EN 13053+A1:2011 oraz PN-EN 1886:2008 dotyczącymi budowy i działania central wentylacyjnych i klimatyzacyjnych, certyfikat TUV lub innej akredytowanej jednostki badawczej potwierdzający zadeklarowane parametry obudowy urządzeń , zgodnie z normą PN-EN 1886:2008, certyfikat ISO 9001 w zakresie produkcji, sprzedaży i serwisu systemów objętych dostawą, gwarantujący kontrolowaną powtarzalność produktu oraz procedur serwisowych.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 sali kinowej należy zapewnić temperaturę w okresie letnim +24oC +/-2K oraz w okresie zimowym 21oC +/-2K wykucie ściany nośnej na parterze wraz z osadzeniem nadproża i otynkowaniem powstałych ubytków zgodnie z dokumentacją techniczną.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instalacje należy prowadzić w bruzdach wykutych w ścianach (względnie posadzkach),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wszelkie wykucia i ubytki należy uzupełnić, powierzchnię zagipsować i wyrównać, pomalować farbą emulsyjną,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Wykonanie kanałów wentylacyjnych nawiewnych i wyciągowych wraz z nawiewnikami, kratkami, izolacją wewnątrz budynku. Prowadzenie kanałów musi uwzględniać wydzielenie pożarowe sufitu w sali kinowej. </w:t>
      </w:r>
    </w:p>
    <w:p w:rsidR="00F278FD" w:rsidRDefault="00F278FD" w:rsidP="00F278FD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046549">
        <w:rPr>
          <w:sz w:val="22"/>
          <w:szCs w:val="22"/>
        </w:rPr>
        <w:t xml:space="preserve">Wykonanie czerpni i wyrzutni ściennej w otworach okiennych </w:t>
      </w:r>
    </w:p>
    <w:p w:rsidR="00F278FD" w:rsidRDefault="00F278FD" w:rsidP="00F278FD">
      <w:pPr>
        <w:pStyle w:val="Default"/>
        <w:jc w:val="both"/>
        <w:rPr>
          <w:b/>
        </w:rPr>
      </w:pPr>
      <w:bookmarkStart w:id="0" w:name="_GoBack"/>
      <w:bookmarkEnd w:id="0"/>
    </w:p>
    <w:p w:rsidR="00F278FD" w:rsidRDefault="00F278FD" w:rsidP="00F278FD">
      <w:pPr>
        <w:rPr>
          <w:rFonts w:ascii="Calibri" w:eastAsiaTheme="minorHAnsi" w:hAnsi="Calibri" w:cs="Calibri"/>
          <w:b/>
          <w:color w:val="000000"/>
          <w:sz w:val="24"/>
          <w:szCs w:val="24"/>
        </w:rPr>
      </w:pPr>
      <w:r>
        <w:rPr>
          <w:b/>
        </w:rPr>
        <w:br w:type="page"/>
      </w:r>
    </w:p>
    <w:p w:rsidR="00F278FD" w:rsidRDefault="00F278FD" w:rsidP="00F278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Załącznik Nr 2 do PFU</w:t>
      </w:r>
    </w:p>
    <w:p w:rsidR="00F278FD" w:rsidRDefault="00F278FD" w:rsidP="00F278FD">
      <w:pPr>
        <w:pStyle w:val="Default"/>
        <w:jc w:val="both"/>
        <w:rPr>
          <w:b/>
        </w:rPr>
      </w:pPr>
    </w:p>
    <w:p w:rsidR="00F278FD" w:rsidRPr="00046549" w:rsidRDefault="00F278FD" w:rsidP="00F278FD">
      <w:pPr>
        <w:pStyle w:val="Default"/>
        <w:jc w:val="both"/>
        <w:rPr>
          <w:b/>
        </w:rPr>
      </w:pPr>
      <w:r w:rsidRPr="00046549">
        <w:rPr>
          <w:b/>
        </w:rPr>
        <w:t xml:space="preserve">Wymagania </w:t>
      </w:r>
      <w:r>
        <w:rPr>
          <w:b/>
        </w:rPr>
        <w:t xml:space="preserve">dotyczące Wykonania Nowej Podłogi </w:t>
      </w:r>
    </w:p>
    <w:p w:rsidR="00F278FD" w:rsidRDefault="00F278FD" w:rsidP="00F278FD">
      <w:pPr>
        <w:spacing w:after="0"/>
        <w:jc w:val="both"/>
      </w:pPr>
      <w:r>
        <w:t>W pełni atestowana, systemowa podłoga podniesiona monolityczna, wykonywana w technologii suchej zabudowy, nierozbieralna płyta gipsowa (anhydrytowa) o grubości minimum 34 mm, typ konstrukcji dedykowany do audytoriów, klasa materiałów A1, nośność 25 KN/m2, bez aplikacji - przygotowanie pod układanie wykładzin dywanowych, PCV, gresu, parkietu, wysokość podniesienia zgodnie z projektem, REI 60, klasa materiałów A. Pozostałe parametry zgodnie z karta katalogową, stopnie, podstopnice i schodki wliczone w powierzchnię opracowania. Podłoga musi być przystosowania do montażu foteli, zamontowania kratek wentylacyjnych w odporności ogniowej zgodnej z podłogą, przejść kablowych.</w:t>
      </w:r>
    </w:p>
    <w:p w:rsidR="00F278FD" w:rsidRDefault="00F278FD" w:rsidP="00F278FD">
      <w:pPr>
        <w:spacing w:after="0"/>
        <w:jc w:val="both"/>
      </w:pPr>
    </w:p>
    <w:p w:rsidR="00F278FD" w:rsidRDefault="00F278FD" w:rsidP="00F278FD">
      <w:pPr>
        <w:rPr>
          <w:rFonts w:ascii="Calibri" w:eastAsiaTheme="minorHAnsi" w:hAnsi="Calibri" w:cs="Calibri"/>
          <w:b/>
          <w:color w:val="000000"/>
          <w:sz w:val="24"/>
          <w:szCs w:val="24"/>
        </w:rPr>
      </w:pPr>
      <w:r>
        <w:rPr>
          <w:b/>
        </w:rPr>
        <w:br w:type="page"/>
      </w:r>
    </w:p>
    <w:p w:rsidR="00F278FD" w:rsidRDefault="00F278FD" w:rsidP="00F278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Załącznik Nr 3 do PFU</w:t>
      </w:r>
    </w:p>
    <w:p w:rsidR="00F278FD" w:rsidRPr="00046549" w:rsidRDefault="00F278FD" w:rsidP="00F278FD">
      <w:pPr>
        <w:pStyle w:val="Default"/>
        <w:jc w:val="both"/>
        <w:rPr>
          <w:b/>
        </w:rPr>
      </w:pPr>
      <w:r w:rsidRPr="00046549">
        <w:rPr>
          <w:b/>
        </w:rPr>
        <w:t xml:space="preserve">Wymagania </w:t>
      </w:r>
      <w:r>
        <w:rPr>
          <w:b/>
        </w:rPr>
        <w:t>dotyczące foteli kinowych</w:t>
      </w:r>
    </w:p>
    <w:p w:rsidR="00F278FD" w:rsidRDefault="00F278FD" w:rsidP="00F278FD">
      <w:pPr>
        <w:spacing w:after="0" w:line="240" w:lineRule="auto"/>
        <w:jc w:val="both"/>
      </w:pPr>
      <w:r>
        <w:t>OPIS PRZEDMIOTU ZAMÓWIENIA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rozkład i sposób zamontowania foteli musi spełniać wymogi aktualnych przepisów i norm, a w szczególności § 261 Rozporządzenia Ministra Infrastruktury z 12 kwietnia 2002 roku w sprawie warunków technicznych, jakim powinny odpowiadać budynki i ich usytuowanie (Dz.U. nr 75 z 2002r., poz. 690 z późniejszymi zmianami).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stopa fotela – wykonana z profilowanej, tłoczonej blachy o wysokości min. 25mm (trwały i estetyczny element – brak widocznych spawów)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konstrukcja nośna – wykonana z profili metalowych – wspornik nogi wykonany z profilu minimum 60x30x2mm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oparcie i siedzisko – trudno-zapalne, profilowane z pianki PU wykonane w technologii wtrysku do formy. Wewnątrz pianek zatopione powinny być metalowe stelaże stanowiące element nośny konstrukcji podnoszący wytrzymałość i odporność na odkształcenia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tapicerka trudno-zapalna – integralna z formatką oparcia i siedziska (połączenie układu tapicerskiego z formatką oparcia i siedziska powinno być wykonane próżniowo podczas procesu formowania pianek w formie bez użycia kleju, zszywek, itp.). Tkanina 100 % poliester.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boki fotela – tapicerowane zewnętrzne w rzędzie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zagłówek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osłona oparcia – zasłaniająca częściowo boki formatki oparcia w celu zabezpieczenia tylnych rantów przed deformacją, stanowiąca jednocześnie konstrukcję nośną oparcia, wykonana z tworzywa PP (polipropylen)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osłona siedziska – profilowana 3D z częściowa perforacją – stanowiąca część konstrukcji nośnej siedziska wykonana z tworzywa PP (polipropylen) wykonana z tworzywa PP (polipropylen) .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mechanizm składania siedziska – sprężynowy z systemem 2 szt. niezależnych sprężyn umieszczonych w osłonie siedziska ( z możliwością wymiany sprężyn ). Siedzisko powinno być mocowane w taki sposób aby możliwa była wymiana siedziska, bez potrzeby rozkręcania pozostałych elementów fotela.  Elementy mocujące siedzisko montowane do nogi fotela na 4 śruby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przelotowo. Siedzisko blokuje się o oparcie. Bezwzględnie wymagane jest zastosowanie mechanizmu spowalniającego składanie siedziska, ze względu na eliminację hałasu podczas zamykania siedziska. Czas zamykania siedziska nie krótszy niż 3 sekundy.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numeracja rzędów i foteli - haft komputerowy – projekt do zatwierdzenia przez Zamawiającego, wszystkie fotele numerowane, numeracja rzędów na tapicerowanym boku skrajnego fotela, cyfry rzymskie, numeracja miejsc umieszczona na oparciu fotela, cyfry arabskie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mocowanie fotela do podłoża winno zapewniać jego stabilność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poduszki tapicerskie oparcia i siedziska powinny być tak zamocowany by możliwa była ich wymiana bez potrzeby rozkręcania pozostałych elementów fotela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materiały stosowane przez Wykonawcę podczas realizacji przedmiotu umowy powinny być fabrycznie nowe i odpowiadać, co do jakości wymogom wyrobów dopuszczonych do obrotu, stosowanych w budownictwie zgodnie z art. 10 Ustawy z dnia 07.07.1994 Prawo budowlane, oraz jakościowym i gatunkowym wymaganiom określonym w niniejszej SIWZ</w:t>
      </w:r>
    </w:p>
    <w:p w:rsidR="00F278FD" w:rsidRDefault="00F278FD" w:rsidP="00F278F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wymiary fotela</w:t>
      </w:r>
    </w:p>
    <w:p w:rsidR="00F278FD" w:rsidRDefault="00F278FD" w:rsidP="00F278FD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t>wysokość całkowita 112-115 cm</w:t>
      </w:r>
    </w:p>
    <w:p w:rsidR="00F278FD" w:rsidRDefault="00F278FD" w:rsidP="00F278FD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t>szerokość po osiach podłokietników 53-55cm</w:t>
      </w:r>
    </w:p>
    <w:p w:rsidR="00F278FD" w:rsidRDefault="00F278FD" w:rsidP="00F278FD">
      <w:pPr>
        <w:pStyle w:val="Akapitzlist"/>
        <w:numPr>
          <w:ilvl w:val="1"/>
          <w:numId w:val="2"/>
        </w:numPr>
        <w:spacing w:after="0" w:line="240" w:lineRule="auto"/>
        <w:jc w:val="both"/>
      </w:pPr>
      <w:r>
        <w:t>głębokość złożonego fotela 45-50cm</w:t>
      </w:r>
    </w:p>
    <w:p w:rsidR="00F278FD" w:rsidRDefault="00F278FD" w:rsidP="00F278FD">
      <w:pPr>
        <w:spacing w:after="0" w:line="240" w:lineRule="auto"/>
        <w:jc w:val="both"/>
      </w:pPr>
    </w:p>
    <w:p w:rsidR="00F278FD" w:rsidRPr="006D6C12" w:rsidRDefault="00850F7E" w:rsidP="00F278FD">
      <w:pPr>
        <w:spacing w:after="0" w:line="240" w:lineRule="auto"/>
        <w:jc w:val="both"/>
        <w:rPr>
          <w:caps/>
        </w:rPr>
      </w:pPr>
      <w:r>
        <w:rPr>
          <w:caps/>
        </w:rPr>
        <w:t xml:space="preserve">Fotele Muszą posiadać Następujące </w:t>
      </w:r>
      <w:r w:rsidR="00F278FD" w:rsidRPr="006D6C12">
        <w:rPr>
          <w:caps/>
        </w:rPr>
        <w:t>atesty i certyfikaty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Atest (sprawozdanie) z badań wytrzymałościowych 4-stopnia w zakresie bezpieczeństwa użytkowania, wg PN-EN 12727:2004P - umożliwiający identyfikację z oferowanym fotelem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Atest (sprawozdanie) z badań zapalności mebli tapicerowanych wg PN-EN 1021-1:2014 i PN-EN 1021-2:2014 – umożliwiający identyfikację z oferowanym fotelem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Atest (sprawozdanie) z badań lotnych toksycznych produktów spalania materiałów dla zestawu tapicerskiego  wg PN-88/B-02855:1988 - umożliwiający identyfikację z oferowanym fotelem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Badania akustyczne wg PN-EN ISO 354: 2005 - umożliwiający identyfikację z oferowanym fotelem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lastRenderedPageBreak/>
        <w:t>Wyniki pomiaru współczynnika pochłaniania dźwięku αp w komorze pogłosowej nie mogą się różnić więcej niż 5% od podanych parametrów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Współczynnik  αp  dla foteli bez ludzi: 125 </w:t>
      </w:r>
      <w:proofErr w:type="spellStart"/>
      <w:r>
        <w:t>Hz</w:t>
      </w:r>
      <w:proofErr w:type="spellEnd"/>
      <w:r>
        <w:t>: 0,40, 250Hz: 0,65, 500Hz: 0,75, 1000Hz: 0,85, 2000Hz: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0,80, 4000 </w:t>
      </w:r>
      <w:proofErr w:type="spellStart"/>
      <w:r>
        <w:t>Hz</w:t>
      </w:r>
      <w:proofErr w:type="spellEnd"/>
      <w:r>
        <w:t>: 0,80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Współczynnik  αp  dla foteli z ludźmi: 125 </w:t>
      </w:r>
      <w:proofErr w:type="spellStart"/>
      <w:r>
        <w:t>Hz</w:t>
      </w:r>
      <w:proofErr w:type="spellEnd"/>
      <w:r>
        <w:t>: 0,55, 250Hz: 0,75, 500Hz: 0,85, 1000Hz: 0,85, 2000Hz: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0,80, 4000 </w:t>
      </w:r>
      <w:proofErr w:type="spellStart"/>
      <w:r>
        <w:t>Hz</w:t>
      </w:r>
      <w:proofErr w:type="spellEnd"/>
      <w:r>
        <w:t>: 0,70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Atest higieniczny - wydany przez Narodowy Instytut Zdrowia Publicznego – Państwowy Zakład Higieny</w:t>
      </w:r>
    </w:p>
    <w:p w:rsidR="00F278FD" w:rsidRDefault="00F278FD" w:rsidP="00F278FD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Atest (sprawozdanie) z badań wytrzymałościowych w zakresie odporności na odkształcanie pianki na min 150.000 cykli, wg PN-EN 12727:2004.</w:t>
      </w:r>
    </w:p>
    <w:p w:rsidR="00F278FD" w:rsidRDefault="00F278FD" w:rsidP="00F278FD">
      <w:pPr>
        <w:spacing w:after="0" w:line="240" w:lineRule="auto"/>
        <w:jc w:val="both"/>
      </w:pPr>
    </w:p>
    <w:p w:rsidR="00F278FD" w:rsidRDefault="00F278FD" w:rsidP="00F278FD">
      <w:pPr>
        <w:spacing w:after="0" w:line="240" w:lineRule="auto"/>
        <w:jc w:val="both"/>
      </w:pPr>
      <w:r>
        <w:t>UWAGI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Wszystkie zaproponowane rozwiązania muszą być systemowe, seryjnie produkowane. Pod pojęciem systemowe Zamawiający rozumie meble, które można łączyć ze sobą w różnych konfiguracjach oraz pozwalające w przyszłości na rozbudowę.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Zamawiający wymaga, aby wykonawca wraz z ofertą załączył katalogi, foldery przedstawiające proponowane systemy oraz model wzorcowy.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Zamawiający wymaga załączenia przed dostawą wszystkich wymienionych w opisie certyfikatów i atestów, wystawionych przez niezależną jednostkę uprawnioną do wydawania tego rodzaju zaświadczeń.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W przypadku tkanin tapicerskich należy przed dostawą dołączyć fabryczny próbnik tkanin. Próbnik i atesty mają być opisane w sposób niebudzący wątpliwości, do jakich materiałów są dedykowane.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Fotele powinny być dopuszczone do użytkowania zgodnie z obowiązującymi przepisami.</w:t>
      </w:r>
    </w:p>
    <w:p w:rsidR="00F278FD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Do oferty należy dołączyć wzór fotela zgodnego ze specyfikacją, jeden przekrój pionowy siedziska oferowanego fotela oraz jeden przekrój pionowy oparcia oferowanego fotela.</w:t>
      </w:r>
    </w:p>
    <w:p w:rsidR="00F278FD" w:rsidRPr="006D6C12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t>Wraz z fotelem należy dostarczyć karty katalogowe oferowanego modelu fotela i wzornik kolorystyki tapicerki zastosowanej w oferowanym modelu.</w:t>
      </w:r>
    </w:p>
    <w:p w:rsidR="00F278FD" w:rsidRPr="006D6C12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  <w:rPr>
          <w:b/>
        </w:rPr>
      </w:pPr>
      <w:r>
        <w:t>Zamawiający dopuszcza rozwiązania równoważne. Obowiązek udowodnienia równoważności spoczywa na oferującym poprzez przedstawienie modelu proponowanego fotela oraz wzornika tapicerek, atestów i certyfikatów.</w:t>
      </w:r>
    </w:p>
    <w:p w:rsidR="00F278FD" w:rsidRPr="006D6C12" w:rsidRDefault="00F278FD" w:rsidP="00F278FD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6D6C12">
        <w:t xml:space="preserve">Jako rozwiązanie równoważne </w:t>
      </w:r>
      <w:r w:rsidRPr="006D6C12">
        <w:rPr>
          <w:b/>
        </w:rPr>
        <w:t>nie dopuszcza</w:t>
      </w:r>
      <w:r w:rsidRPr="006D6C12">
        <w:t xml:space="preserve"> się użycia następujących materiałów:</w:t>
      </w:r>
    </w:p>
    <w:p w:rsidR="00F278FD" w:rsidRPr="006D6C12" w:rsidRDefault="00F278FD" w:rsidP="00F278FD">
      <w:pPr>
        <w:pStyle w:val="Akapitzlist"/>
        <w:numPr>
          <w:ilvl w:val="1"/>
          <w:numId w:val="4"/>
        </w:numPr>
        <w:spacing w:after="0" w:line="240" w:lineRule="auto"/>
        <w:jc w:val="both"/>
      </w:pPr>
      <w:r w:rsidRPr="006D6C12">
        <w:t>konstrukcji stelaży innej niż wskazana</w:t>
      </w:r>
    </w:p>
    <w:p w:rsidR="00F278FD" w:rsidRPr="006D6C12" w:rsidRDefault="00F278FD" w:rsidP="00F278FD">
      <w:pPr>
        <w:pStyle w:val="Akapitzlist"/>
        <w:numPr>
          <w:ilvl w:val="1"/>
          <w:numId w:val="4"/>
        </w:numPr>
        <w:spacing w:after="0" w:line="240" w:lineRule="auto"/>
        <w:jc w:val="both"/>
      </w:pPr>
      <w:r w:rsidRPr="006D6C12">
        <w:t>innego kształtu oparcia i siedziska z charakterystycznym profilowaniem</w:t>
      </w:r>
    </w:p>
    <w:p w:rsidR="00F278FD" w:rsidRPr="006D6C12" w:rsidRDefault="00F278FD" w:rsidP="00F278FD">
      <w:pPr>
        <w:pStyle w:val="Akapitzlist"/>
        <w:numPr>
          <w:ilvl w:val="1"/>
          <w:numId w:val="4"/>
        </w:numPr>
        <w:spacing w:after="0" w:line="240" w:lineRule="auto"/>
        <w:jc w:val="both"/>
      </w:pPr>
      <w:r w:rsidRPr="006D6C12">
        <w:t>innego kształtu osłony oparcia i siedziska, ich parametrów technicznych oraz sposobu profilowania etc.</w:t>
      </w:r>
    </w:p>
    <w:p w:rsidR="00F278FD" w:rsidRDefault="00F278FD" w:rsidP="00F278FD">
      <w:pPr>
        <w:pStyle w:val="Akapitzlist"/>
        <w:numPr>
          <w:ilvl w:val="1"/>
          <w:numId w:val="4"/>
        </w:numPr>
        <w:spacing w:after="0" w:line="240" w:lineRule="auto"/>
        <w:jc w:val="both"/>
      </w:pPr>
      <w:r w:rsidRPr="006D6C12">
        <w:t>docinanych pianek tapicerskich, doklejania półokrągłych elementów jako profili oparcia</w:t>
      </w:r>
    </w:p>
    <w:p w:rsidR="00F278FD" w:rsidRDefault="00F278FD" w:rsidP="00F278FD">
      <w:pPr>
        <w:spacing w:after="0" w:line="240" w:lineRule="auto"/>
        <w:jc w:val="both"/>
      </w:pPr>
    </w:p>
    <w:p w:rsidR="00F278FD" w:rsidRDefault="00F278FD" w:rsidP="00F278FD">
      <w:pPr>
        <w:rPr>
          <w:rFonts w:ascii="Calibri" w:eastAsiaTheme="minorHAnsi" w:hAnsi="Calibri" w:cs="Calibri"/>
          <w:b/>
          <w:noProof/>
          <w:color w:val="000000"/>
          <w:sz w:val="24"/>
          <w:szCs w:val="24"/>
        </w:rPr>
      </w:pPr>
      <w:r>
        <w:rPr>
          <w:b/>
          <w:noProof/>
        </w:rPr>
        <w:br w:type="page"/>
      </w:r>
    </w:p>
    <w:p w:rsidR="00F278FD" w:rsidRDefault="00F278FD" w:rsidP="00F278F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Załącznik Nr 4 do PFU</w:t>
      </w:r>
    </w:p>
    <w:p w:rsidR="00F278FD" w:rsidRPr="006D6C12" w:rsidRDefault="00F278FD" w:rsidP="00F278FD">
      <w:pPr>
        <w:pStyle w:val="Default"/>
        <w:jc w:val="both"/>
        <w:rPr>
          <w:b/>
          <w:noProof/>
        </w:rPr>
      </w:pPr>
      <w:r w:rsidRPr="006D6C12">
        <w:rPr>
          <w:b/>
          <w:noProof/>
        </w:rPr>
        <w:t>Wymagania dotyczące akustyki</w:t>
      </w:r>
    </w:p>
    <w:p w:rsidR="00F278FD" w:rsidRPr="006D6C12" w:rsidRDefault="00F278FD" w:rsidP="00F278FD">
      <w:pPr>
        <w:pStyle w:val="Nagwek2"/>
        <w:tabs>
          <w:tab w:val="left" w:pos="337"/>
        </w:tabs>
        <w:ind w:left="0"/>
        <w:jc w:val="both"/>
        <w:rPr>
          <w:rFonts w:cs="Calibri"/>
          <w:b w:val="0"/>
          <w:bCs w:val="0"/>
          <w:lang w:val="pl-PL"/>
        </w:rPr>
      </w:pPr>
      <w:r w:rsidRPr="006D6C12">
        <w:rPr>
          <w:lang w:val="pl-PL"/>
        </w:rPr>
        <w:t>Charakterystyka</w:t>
      </w:r>
      <w:r w:rsidRPr="006D6C12">
        <w:rPr>
          <w:spacing w:val="-11"/>
          <w:lang w:val="pl-PL"/>
        </w:rPr>
        <w:t xml:space="preserve"> </w:t>
      </w:r>
      <w:r w:rsidRPr="006D6C12">
        <w:rPr>
          <w:lang w:val="pl-PL"/>
        </w:rPr>
        <w:t>obiektu</w:t>
      </w:r>
    </w:p>
    <w:p w:rsidR="00F278FD" w:rsidRPr="006D6C12" w:rsidRDefault="00F278FD" w:rsidP="00F278FD">
      <w:pPr>
        <w:pStyle w:val="Tekstpodstawowy"/>
        <w:spacing w:line="235" w:lineRule="auto"/>
        <w:ind w:left="0"/>
        <w:jc w:val="both"/>
        <w:rPr>
          <w:rFonts w:cs="Calibri"/>
          <w:lang w:val="pl-PL"/>
        </w:rPr>
      </w:pPr>
      <w:r w:rsidRPr="006D6C12">
        <w:rPr>
          <w:lang w:val="pl-PL"/>
        </w:rPr>
        <w:t>Sala Kinowa Sławieńskiego Domu Kultury jest wnętrzem wielofunkcyjnym, w którym odbywają się różnego rodzaju wydarzenia o charakterze</w:t>
      </w:r>
      <w:r w:rsidRPr="006D6C12">
        <w:rPr>
          <w:spacing w:val="-15"/>
          <w:lang w:val="pl-PL"/>
        </w:rPr>
        <w:t xml:space="preserve"> </w:t>
      </w:r>
      <w:r w:rsidRPr="006D6C12">
        <w:rPr>
          <w:lang w:val="pl-PL"/>
        </w:rPr>
        <w:t>artystyczno-kulturalnym.</w:t>
      </w:r>
    </w:p>
    <w:p w:rsidR="00F278FD" w:rsidRPr="006D6C12" w:rsidRDefault="00F278FD" w:rsidP="00F278FD">
      <w:pPr>
        <w:pStyle w:val="Nagwek2"/>
        <w:tabs>
          <w:tab w:val="left" w:pos="337"/>
        </w:tabs>
        <w:ind w:left="0"/>
        <w:jc w:val="both"/>
        <w:rPr>
          <w:rFonts w:cs="Calibri"/>
          <w:bCs w:val="0"/>
          <w:lang w:val="pl-PL"/>
        </w:rPr>
      </w:pPr>
      <w:r w:rsidRPr="006D6C12">
        <w:rPr>
          <w:lang w:val="pl-PL"/>
        </w:rPr>
        <w:t>Akustyka</w:t>
      </w:r>
      <w:r w:rsidRPr="006D6C12">
        <w:rPr>
          <w:spacing w:val="-5"/>
          <w:lang w:val="pl-PL"/>
        </w:rPr>
        <w:t xml:space="preserve"> </w:t>
      </w:r>
      <w:r w:rsidRPr="006D6C12">
        <w:rPr>
          <w:lang w:val="pl-PL"/>
        </w:rPr>
        <w:t>wnętrz</w:t>
      </w:r>
      <w:r>
        <w:rPr>
          <w:lang w:val="pl-PL"/>
        </w:rPr>
        <w:t xml:space="preserve"> - </w:t>
      </w:r>
      <w:r w:rsidRPr="006D6C12">
        <w:rPr>
          <w:lang w:val="pl-PL"/>
        </w:rPr>
        <w:t>Czas</w:t>
      </w:r>
      <w:r w:rsidRPr="006D6C12">
        <w:rPr>
          <w:spacing w:val="-5"/>
          <w:lang w:val="pl-PL"/>
        </w:rPr>
        <w:t xml:space="preserve"> </w:t>
      </w:r>
      <w:r w:rsidRPr="006D6C12">
        <w:rPr>
          <w:lang w:val="pl-PL"/>
        </w:rPr>
        <w:t>pogłosu</w:t>
      </w:r>
    </w:p>
    <w:p w:rsidR="00F278FD" w:rsidRPr="006D6C12" w:rsidRDefault="00F278FD" w:rsidP="00F278FD">
      <w:pPr>
        <w:pStyle w:val="Tekstpodstawowy"/>
        <w:ind w:left="0" w:right="113"/>
        <w:jc w:val="both"/>
        <w:rPr>
          <w:lang w:val="pl-PL"/>
        </w:rPr>
      </w:pPr>
      <w:r w:rsidRPr="006D6C12">
        <w:rPr>
          <w:lang w:val="pl-PL"/>
        </w:rPr>
        <w:t>Większość wydarzeń odbywających się w sali Kinowej SDK jest realizowana przy wsparciu systemu elektroakustycznego. Dlatego parametry akustyczne sali powinny być dostosowane do tego typu</w:t>
      </w:r>
      <w:r w:rsidRPr="006D6C12">
        <w:rPr>
          <w:spacing w:val="-5"/>
          <w:lang w:val="pl-PL"/>
        </w:rPr>
        <w:t xml:space="preserve"> </w:t>
      </w:r>
      <w:r w:rsidRPr="006D6C12">
        <w:rPr>
          <w:lang w:val="pl-PL"/>
        </w:rPr>
        <w:t>wnętrza.</w:t>
      </w:r>
    </w:p>
    <w:p w:rsidR="00F278FD" w:rsidRPr="006D6C12" w:rsidRDefault="00F278FD" w:rsidP="00F278FD">
      <w:pPr>
        <w:pStyle w:val="Tekstpodstawowy"/>
        <w:ind w:left="0"/>
        <w:jc w:val="both"/>
        <w:rPr>
          <w:lang w:val="pl-PL"/>
        </w:rPr>
      </w:pPr>
      <w:r w:rsidRPr="006D6C12">
        <w:rPr>
          <w:lang w:val="pl-PL"/>
        </w:rPr>
        <w:t>W salach kinowych źródłem sygnału jest system elektroakustyczny składający się z wielu głośników umieszczonych z przodu za ekranem, z tyłu widowni i na ścianach bocznych sali. Ze względu na wzajemne oddziaływanie głośników oraz w celu uzyskania precyzyjnej lokalizacji źródeł pozornych, należy wykonać adaptację akustyczną sali, w celu ograniczenia pogłosu i efektu wielokrotnych odbić. Kluczowym parametrem definiującym akustykę sali kinowej jest czas pogłosu. W projekcie akustyki wnętrza z systemem elektroakustycznym przyjmuje się możliwie krótkie czasy pogłosu, gdyż przestrzenność dźwięku uzyskiwana jest poprzez dedykowany system nagłośnieniowy oraz efekty specjalne w warstwie dźwiękowej filmu, a nie naturalne wybrzmienie</w:t>
      </w:r>
      <w:r w:rsidRPr="006D6C12">
        <w:rPr>
          <w:spacing w:val="-15"/>
          <w:lang w:val="pl-PL"/>
        </w:rPr>
        <w:t xml:space="preserve"> </w:t>
      </w:r>
      <w:r w:rsidRPr="006D6C12">
        <w:rPr>
          <w:lang w:val="pl-PL"/>
        </w:rPr>
        <w:t>dźwięku.</w:t>
      </w:r>
    </w:p>
    <w:p w:rsidR="00F278FD" w:rsidRPr="006D6C12" w:rsidRDefault="00F278FD" w:rsidP="00F278FD">
      <w:pPr>
        <w:pStyle w:val="Tekstpodstawowy"/>
        <w:ind w:left="0" w:right="115"/>
        <w:jc w:val="both"/>
        <w:rPr>
          <w:rFonts w:cs="Calibri"/>
          <w:lang w:val="pl-PL"/>
        </w:rPr>
      </w:pPr>
      <w:r w:rsidRPr="006D6C12">
        <w:rPr>
          <w:lang w:val="pl-PL"/>
        </w:rPr>
        <w:t xml:space="preserve">Wymagania dla </w:t>
      </w:r>
      <w:proofErr w:type="spellStart"/>
      <w:r w:rsidRPr="006D6C12">
        <w:rPr>
          <w:lang w:val="pl-PL"/>
        </w:rPr>
        <w:t>sal</w:t>
      </w:r>
      <w:proofErr w:type="spellEnd"/>
      <w:r w:rsidRPr="006D6C12">
        <w:rPr>
          <w:lang w:val="pl-PL"/>
        </w:rPr>
        <w:t xml:space="preserve"> kinowych zakładają optymalny czas pogłosu w zależności od kubatury sali projekcyjnej. Ponadto, dla tego typu wnętrz czasy pogłosu osiągają stosunkowo niskie wartości i są obarczone niewielkim marginesem</w:t>
      </w:r>
      <w:r w:rsidRPr="006D6C12">
        <w:rPr>
          <w:spacing w:val="-9"/>
          <w:lang w:val="pl-PL"/>
        </w:rPr>
        <w:t xml:space="preserve"> </w:t>
      </w:r>
      <w:r w:rsidRPr="006D6C12">
        <w:rPr>
          <w:lang w:val="pl-PL"/>
        </w:rPr>
        <w:t>tolerancji.</w:t>
      </w:r>
    </w:p>
    <w:p w:rsidR="00F278FD" w:rsidRPr="006D6C12" w:rsidRDefault="00F278FD" w:rsidP="00F278FD">
      <w:pPr>
        <w:pStyle w:val="Tekstpodstawowy"/>
        <w:spacing w:line="235" w:lineRule="auto"/>
        <w:jc w:val="both"/>
        <w:rPr>
          <w:rFonts w:cs="Calibri"/>
          <w:lang w:val="pl-PL"/>
        </w:rPr>
      </w:pPr>
      <w:r w:rsidRPr="006D6C12">
        <w:rPr>
          <w:lang w:val="pl-PL"/>
        </w:rPr>
        <w:t>Ze względu na wielofunkcyjność sali należy zoptymalizować czas pogłosu tak, żeby w sali mogły się odbywać wydarzenia o różnym charakterze artystycznym, czy</w:t>
      </w:r>
      <w:r w:rsidRPr="006D6C12">
        <w:rPr>
          <w:spacing w:val="-20"/>
          <w:lang w:val="pl-PL"/>
        </w:rPr>
        <w:t xml:space="preserve"> </w:t>
      </w:r>
      <w:r w:rsidRPr="006D6C12">
        <w:rPr>
          <w:lang w:val="pl-PL"/>
        </w:rPr>
        <w:t>programowym.</w:t>
      </w:r>
    </w:p>
    <w:p w:rsidR="00F278FD" w:rsidRPr="006D6C12" w:rsidRDefault="00F278FD" w:rsidP="00F278FD">
      <w:pPr>
        <w:pStyle w:val="Tekstpodstawowy"/>
        <w:ind w:right="-24"/>
        <w:jc w:val="both"/>
        <w:rPr>
          <w:rFonts w:cs="Calibri"/>
          <w:lang w:val="pl-PL"/>
        </w:rPr>
      </w:pPr>
      <w:r w:rsidRPr="006D6C12">
        <w:rPr>
          <w:lang w:val="pl-PL"/>
        </w:rPr>
        <w:t xml:space="preserve">Na rys.1 pokazano optymalny czas pogłosu funkcji kubatury dla </w:t>
      </w:r>
      <w:proofErr w:type="spellStart"/>
      <w:r w:rsidRPr="006D6C12">
        <w:rPr>
          <w:lang w:val="pl-PL"/>
        </w:rPr>
        <w:t>sal</w:t>
      </w:r>
      <w:proofErr w:type="spellEnd"/>
      <w:r w:rsidRPr="006D6C12">
        <w:rPr>
          <w:lang w:val="pl-PL"/>
        </w:rPr>
        <w:t xml:space="preserve"> kinowych przy częstotliwości odniesienia 500</w:t>
      </w:r>
      <w:r w:rsidRPr="006D6C12">
        <w:rPr>
          <w:spacing w:val="-3"/>
          <w:lang w:val="pl-PL"/>
        </w:rPr>
        <w:t xml:space="preserve"> </w:t>
      </w:r>
      <w:proofErr w:type="spellStart"/>
      <w:r w:rsidRPr="006D6C12">
        <w:rPr>
          <w:lang w:val="pl-PL"/>
        </w:rPr>
        <w:t>Hz</w:t>
      </w:r>
      <w:proofErr w:type="spellEnd"/>
      <w:r w:rsidRPr="006D6C12">
        <w:rPr>
          <w:lang w:val="pl-PL"/>
        </w:rPr>
        <w:t>.</w:t>
      </w:r>
    </w:p>
    <w:p w:rsidR="00F278FD" w:rsidRPr="006D6C12" w:rsidRDefault="00F278FD" w:rsidP="00F278FD">
      <w:pPr>
        <w:pStyle w:val="Nagwek1"/>
        <w:ind w:right="606"/>
        <w:jc w:val="both"/>
        <w:rPr>
          <w:lang w:val="pl-PL"/>
        </w:rPr>
      </w:pPr>
      <w:r w:rsidRPr="006D6C12">
        <w:rPr>
          <w:b/>
          <w:sz w:val="22"/>
          <w:lang w:val="pl-PL"/>
        </w:rPr>
        <w:t xml:space="preserve">Rys.1 </w:t>
      </w:r>
      <w:r w:rsidRPr="006D6C12">
        <w:rPr>
          <w:lang w:val="pl-PL"/>
        </w:rPr>
        <w:t>Optymalny czas pogłosu RT w sali kinowej dla 500</w:t>
      </w:r>
      <w:r w:rsidRPr="006D6C12">
        <w:rPr>
          <w:spacing w:val="-18"/>
          <w:lang w:val="pl-PL"/>
        </w:rPr>
        <w:t xml:space="preserve"> </w:t>
      </w:r>
      <w:proofErr w:type="spellStart"/>
      <w:r w:rsidRPr="006D6C12">
        <w:rPr>
          <w:lang w:val="pl-PL"/>
        </w:rPr>
        <w:t>Hz</w:t>
      </w:r>
      <w:proofErr w:type="spellEnd"/>
    </w:p>
    <w:p w:rsidR="00F278FD" w:rsidRPr="006D6C12" w:rsidRDefault="00F278FD" w:rsidP="00F278FD">
      <w:pPr>
        <w:spacing w:after="0"/>
        <w:ind w:left="117"/>
        <w:jc w:val="both"/>
        <w:rPr>
          <w:rFonts w:ascii="Calibri" w:eastAsia="Calibri" w:hAnsi="Calibri" w:cs="Calibri"/>
          <w:sz w:val="20"/>
          <w:szCs w:val="20"/>
        </w:rPr>
      </w:pPr>
      <w:r w:rsidRPr="006D6C12"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43B1CD14" wp14:editId="171541C6">
            <wp:extent cx="5686425" cy="39814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8FD" w:rsidRPr="006D6C12" w:rsidRDefault="00F278FD" w:rsidP="00F278FD">
      <w:pPr>
        <w:spacing w:after="0"/>
        <w:jc w:val="both"/>
        <w:rPr>
          <w:rFonts w:ascii="Calibri" w:eastAsia="Calibri" w:hAnsi="Calibri" w:cs="Calibri"/>
          <w:sz w:val="25"/>
          <w:szCs w:val="25"/>
        </w:rPr>
      </w:pPr>
    </w:p>
    <w:p w:rsidR="00F278FD" w:rsidRPr="006D6C12" w:rsidRDefault="00F278FD" w:rsidP="00F278FD">
      <w:pPr>
        <w:spacing w:after="0"/>
        <w:ind w:left="116" w:right="606"/>
        <w:jc w:val="both"/>
        <w:rPr>
          <w:rFonts w:ascii="Calibri" w:eastAsia="Calibri" w:hAnsi="Calibri" w:cs="Calibri"/>
          <w:sz w:val="23"/>
          <w:szCs w:val="23"/>
        </w:rPr>
      </w:pPr>
      <w:r w:rsidRPr="006D6C12">
        <w:rPr>
          <w:rFonts w:ascii="Calibri" w:hAnsi="Calibri"/>
          <w:b/>
          <w:sz w:val="23"/>
        </w:rPr>
        <w:t>Rys</w:t>
      </w:r>
      <w:r w:rsidRPr="006D6C12">
        <w:rPr>
          <w:rFonts w:ascii="Calibri" w:hAnsi="Calibri"/>
          <w:sz w:val="23"/>
        </w:rPr>
        <w:t xml:space="preserve">. </w:t>
      </w:r>
      <w:r w:rsidRPr="006D6C12">
        <w:rPr>
          <w:rFonts w:ascii="Calibri" w:hAnsi="Calibri"/>
          <w:b/>
          <w:sz w:val="23"/>
        </w:rPr>
        <w:t>2</w:t>
      </w:r>
      <w:r w:rsidRPr="006D6C12">
        <w:rPr>
          <w:rFonts w:ascii="Calibri" w:hAnsi="Calibri"/>
          <w:sz w:val="23"/>
        </w:rPr>
        <w:t>. Zakresy tolerancji czasu pogłosu w sali</w:t>
      </w:r>
      <w:r w:rsidRPr="006D6C12">
        <w:rPr>
          <w:rFonts w:ascii="Calibri" w:hAnsi="Calibri"/>
          <w:spacing w:val="-19"/>
          <w:sz w:val="23"/>
        </w:rPr>
        <w:t xml:space="preserve"> </w:t>
      </w:r>
      <w:r w:rsidRPr="006D6C12">
        <w:rPr>
          <w:rFonts w:ascii="Calibri" w:hAnsi="Calibri"/>
          <w:sz w:val="23"/>
        </w:rPr>
        <w:t>kinowej.</w:t>
      </w:r>
    </w:p>
    <w:p w:rsidR="00F278FD" w:rsidRPr="006D6C12" w:rsidRDefault="00F278FD" w:rsidP="00F278FD">
      <w:pPr>
        <w:spacing w:after="0"/>
        <w:ind w:left="117"/>
        <w:jc w:val="both"/>
        <w:rPr>
          <w:rFonts w:ascii="Calibri" w:eastAsia="Calibri" w:hAnsi="Calibri" w:cs="Calibri"/>
          <w:sz w:val="20"/>
          <w:szCs w:val="20"/>
        </w:rPr>
        <w:sectPr w:rsidR="00F278FD" w:rsidRPr="006D6C12" w:rsidSect="002059CC">
          <w:pgSz w:w="11910" w:h="16840"/>
          <w:pgMar w:top="1360" w:right="711" w:bottom="280" w:left="1300" w:header="708" w:footer="708" w:gutter="0"/>
          <w:cols w:space="708"/>
        </w:sectPr>
      </w:pPr>
      <w:r w:rsidRPr="006D6C12"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258903AD" wp14:editId="145EC6E9">
            <wp:extent cx="5695950" cy="28860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8FD" w:rsidRPr="006D6C12" w:rsidRDefault="00F278FD" w:rsidP="00F278FD">
      <w:pPr>
        <w:pStyle w:val="Nagwek2"/>
        <w:tabs>
          <w:tab w:val="left" w:pos="508"/>
        </w:tabs>
        <w:ind w:left="0"/>
        <w:jc w:val="both"/>
        <w:rPr>
          <w:b w:val="0"/>
          <w:bCs w:val="0"/>
          <w:lang w:val="pl-PL"/>
        </w:rPr>
      </w:pPr>
      <w:r w:rsidRPr="006D6C12">
        <w:rPr>
          <w:lang w:val="pl-PL"/>
        </w:rPr>
        <w:lastRenderedPageBreak/>
        <w:t>Akustyka</w:t>
      </w:r>
      <w:r w:rsidRPr="006D6C12">
        <w:rPr>
          <w:spacing w:val="-5"/>
          <w:lang w:val="pl-PL"/>
        </w:rPr>
        <w:t xml:space="preserve"> </w:t>
      </w:r>
      <w:r w:rsidRPr="006D6C12">
        <w:rPr>
          <w:lang w:val="pl-PL"/>
        </w:rPr>
        <w:t>wnętrz</w:t>
      </w:r>
      <w:r>
        <w:rPr>
          <w:lang w:val="pl-PL"/>
        </w:rPr>
        <w:t xml:space="preserve"> - </w:t>
      </w:r>
      <w:r w:rsidRPr="006D6C12">
        <w:rPr>
          <w:lang w:val="pl-PL"/>
        </w:rPr>
        <w:t>Adaptacja akustyczna</w:t>
      </w:r>
      <w:r w:rsidRPr="006D6C12">
        <w:rPr>
          <w:spacing w:val="-6"/>
          <w:lang w:val="pl-PL"/>
        </w:rPr>
        <w:t xml:space="preserve"> </w:t>
      </w:r>
      <w:r w:rsidRPr="006D6C12">
        <w:rPr>
          <w:lang w:val="pl-PL"/>
        </w:rPr>
        <w:t>wnętrza</w:t>
      </w:r>
    </w:p>
    <w:p w:rsidR="00F278FD" w:rsidRPr="002059CC" w:rsidRDefault="00F278FD" w:rsidP="00F278FD">
      <w:pPr>
        <w:spacing w:after="0"/>
        <w:jc w:val="both"/>
        <w:rPr>
          <w:rFonts w:ascii="Calibri" w:eastAsia="Calibri" w:hAnsi="Calibri" w:cs="Calibri"/>
        </w:rPr>
      </w:pPr>
      <w:r w:rsidRPr="002059CC">
        <w:rPr>
          <w:rFonts w:ascii="Calibri" w:hAnsi="Calibri"/>
        </w:rPr>
        <w:t>Tylna ściana</w:t>
      </w:r>
      <w:r w:rsidRPr="002059CC">
        <w:rPr>
          <w:rFonts w:ascii="Calibri" w:hAnsi="Calibri"/>
          <w:spacing w:val="-7"/>
        </w:rPr>
        <w:t xml:space="preserve"> </w:t>
      </w:r>
      <w:r w:rsidRPr="002059CC">
        <w:rPr>
          <w:rFonts w:ascii="Calibri" w:hAnsi="Calibri"/>
        </w:rPr>
        <w:t>Sali</w:t>
      </w:r>
    </w:p>
    <w:p w:rsidR="00F278FD" w:rsidRPr="002059CC" w:rsidRDefault="00F278FD" w:rsidP="00F278FD">
      <w:pPr>
        <w:pStyle w:val="Tekstpodstawowy"/>
        <w:ind w:left="0" w:right="113"/>
        <w:jc w:val="both"/>
        <w:rPr>
          <w:rFonts w:cs="Calibri"/>
          <w:lang w:val="pl-PL"/>
        </w:rPr>
      </w:pPr>
      <w:r w:rsidRPr="002059CC">
        <w:rPr>
          <w:lang w:val="pl-PL"/>
        </w:rPr>
        <w:t>Ze względu na system elektroakustyczny, ściana za widownią powinna być pokryta systemem akustycznym o największym zakresie pochłaniania dźwięku. Należy zastosować odpowiedni system złożony z wełny o odpowiedniej grubości oraz gęstości pokrytej materiałem przezroczystym akustycznie, np.</w:t>
      </w:r>
      <w:r w:rsidRPr="002059CC">
        <w:rPr>
          <w:spacing w:val="-5"/>
          <w:lang w:val="pl-PL"/>
        </w:rPr>
        <w:t xml:space="preserve"> </w:t>
      </w:r>
      <w:proofErr w:type="spellStart"/>
      <w:r w:rsidRPr="002059CC">
        <w:rPr>
          <w:lang w:val="pl-PL"/>
        </w:rPr>
        <w:t>Soundcheck</w:t>
      </w:r>
      <w:proofErr w:type="spellEnd"/>
      <w:r w:rsidRPr="002059CC">
        <w:rPr>
          <w:lang w:val="pl-PL"/>
        </w:rPr>
        <w:t>.</w:t>
      </w:r>
    </w:p>
    <w:p w:rsidR="00F278FD" w:rsidRPr="002059CC" w:rsidRDefault="00F278FD" w:rsidP="00F278FD">
      <w:pPr>
        <w:pStyle w:val="Nagwek2"/>
        <w:ind w:left="0"/>
        <w:jc w:val="both"/>
        <w:rPr>
          <w:b w:val="0"/>
          <w:bCs w:val="0"/>
          <w:lang w:val="pl-PL"/>
        </w:rPr>
      </w:pPr>
      <w:r w:rsidRPr="002059CC">
        <w:rPr>
          <w:b w:val="0"/>
          <w:lang w:val="pl-PL"/>
        </w:rPr>
        <w:t>Ściany boczne</w:t>
      </w:r>
      <w:r w:rsidRPr="002059CC">
        <w:rPr>
          <w:b w:val="0"/>
          <w:spacing w:val="-7"/>
          <w:lang w:val="pl-PL"/>
        </w:rPr>
        <w:t xml:space="preserve"> </w:t>
      </w:r>
      <w:r w:rsidRPr="002059CC">
        <w:rPr>
          <w:b w:val="0"/>
          <w:lang w:val="pl-PL"/>
        </w:rPr>
        <w:t>Sali</w:t>
      </w:r>
    </w:p>
    <w:p w:rsidR="00F278FD" w:rsidRPr="002059CC" w:rsidRDefault="00F278FD" w:rsidP="00F278FD">
      <w:pPr>
        <w:pStyle w:val="Tekstpodstawowy"/>
        <w:ind w:left="0" w:right="113"/>
        <w:jc w:val="both"/>
        <w:rPr>
          <w:lang w:val="pl-PL"/>
        </w:rPr>
      </w:pPr>
      <w:r w:rsidRPr="002059CC">
        <w:rPr>
          <w:lang w:val="pl-PL"/>
        </w:rPr>
        <w:t xml:space="preserve">Na ścianach bocznych należy zastosować bryty z materiał pochłaniającego o szerokości oraz wysokości wynikających z projektu akustyki wnętrz. Aranżacja ustrojów pochłaniających na ścianach bocznych powinna być przebiegać według schematu na przekładkę. Bryty systemu pochłaniania dźwięku np. </w:t>
      </w:r>
      <w:proofErr w:type="spellStart"/>
      <w:r w:rsidRPr="002059CC">
        <w:rPr>
          <w:lang w:val="pl-PL"/>
        </w:rPr>
        <w:t>Soundcheck</w:t>
      </w:r>
      <w:proofErr w:type="spellEnd"/>
      <w:r w:rsidRPr="002059CC">
        <w:rPr>
          <w:lang w:val="pl-PL"/>
        </w:rPr>
        <w:t xml:space="preserve"> należy rozmieścić tak, aby każdy fragment równoległych ścian był pokryty odpowiednim ustrojem. Dzięki temu uniknie się efektu echa</w:t>
      </w:r>
      <w:r w:rsidRPr="002059CC">
        <w:rPr>
          <w:spacing w:val="-14"/>
          <w:lang w:val="pl-PL"/>
        </w:rPr>
        <w:t xml:space="preserve"> </w:t>
      </w:r>
      <w:r w:rsidRPr="002059CC">
        <w:rPr>
          <w:lang w:val="pl-PL"/>
        </w:rPr>
        <w:t>trzepoczącego.</w:t>
      </w:r>
    </w:p>
    <w:p w:rsidR="00F278FD" w:rsidRPr="002059CC" w:rsidRDefault="00F278FD" w:rsidP="00F278FD">
      <w:pPr>
        <w:pStyle w:val="Nagwek2"/>
        <w:ind w:left="0"/>
        <w:jc w:val="both"/>
        <w:rPr>
          <w:rFonts w:cs="Calibri"/>
          <w:b w:val="0"/>
          <w:bCs w:val="0"/>
          <w:lang w:val="pl-PL"/>
        </w:rPr>
      </w:pPr>
      <w:r w:rsidRPr="002059CC">
        <w:rPr>
          <w:b w:val="0"/>
          <w:lang w:val="pl-PL"/>
        </w:rPr>
        <w:t>Sufit</w:t>
      </w:r>
    </w:p>
    <w:p w:rsidR="00F278FD" w:rsidRPr="002059CC" w:rsidRDefault="00F278FD" w:rsidP="00F278FD">
      <w:pPr>
        <w:pStyle w:val="Tekstpodstawowy"/>
        <w:ind w:left="0" w:right="117"/>
        <w:jc w:val="both"/>
        <w:rPr>
          <w:lang w:val="pl-PL"/>
        </w:rPr>
      </w:pPr>
      <w:r w:rsidRPr="002059CC">
        <w:rPr>
          <w:lang w:val="pl-PL"/>
        </w:rPr>
        <w:t>Na suficie należy zastosować naprzemiennie sufit pełny, wykonany z materiału odbijającego dźwięk z sufitem akustycznym silnie pochłaniającym dźwięk. Dokładne proporcje zastosowanych materiałów będą wynikały z projektu akustyki</w:t>
      </w:r>
      <w:r w:rsidRPr="002059CC">
        <w:rPr>
          <w:spacing w:val="-7"/>
          <w:lang w:val="pl-PL"/>
        </w:rPr>
        <w:t xml:space="preserve"> </w:t>
      </w:r>
      <w:r w:rsidRPr="002059CC">
        <w:rPr>
          <w:lang w:val="pl-PL"/>
        </w:rPr>
        <w:t>wnętrz.</w:t>
      </w:r>
    </w:p>
    <w:p w:rsidR="00F278FD" w:rsidRPr="002059CC" w:rsidRDefault="00F278FD" w:rsidP="00F278FD">
      <w:pPr>
        <w:pStyle w:val="Nagwek2"/>
        <w:ind w:left="0"/>
        <w:jc w:val="both"/>
        <w:rPr>
          <w:rFonts w:cs="Calibri"/>
          <w:b w:val="0"/>
          <w:bCs w:val="0"/>
          <w:lang w:val="pl-PL"/>
        </w:rPr>
      </w:pPr>
      <w:r w:rsidRPr="002059CC">
        <w:rPr>
          <w:b w:val="0"/>
          <w:lang w:val="pl-PL"/>
        </w:rPr>
        <w:t>Fotele</w:t>
      </w:r>
    </w:p>
    <w:p w:rsidR="00F278FD" w:rsidRPr="006D6C12" w:rsidRDefault="00F278FD" w:rsidP="00F278FD">
      <w:pPr>
        <w:pStyle w:val="Tekstpodstawowy"/>
        <w:ind w:left="0" w:right="118"/>
        <w:jc w:val="both"/>
        <w:rPr>
          <w:lang w:val="pl-PL"/>
        </w:rPr>
      </w:pPr>
      <w:r w:rsidRPr="002059CC">
        <w:rPr>
          <w:lang w:val="pl-PL"/>
        </w:rPr>
        <w:t>Fotele w salach kinowych powinny być głębokie, z wysokim podparciem i posiadać grube miękkie obicie oraz zbliżoną chłonność akustyczną w sytuacjach z widzem i bez widza. Dzięki temu komfort oglądania jest niezależny</w:t>
      </w:r>
      <w:r w:rsidRPr="006D6C12">
        <w:rPr>
          <w:lang w:val="pl-PL"/>
        </w:rPr>
        <w:t xml:space="preserve"> od stopnia wypełnienia</w:t>
      </w:r>
      <w:r w:rsidRPr="006D6C12">
        <w:rPr>
          <w:spacing w:val="-4"/>
          <w:lang w:val="pl-PL"/>
        </w:rPr>
        <w:t xml:space="preserve"> </w:t>
      </w:r>
      <w:r w:rsidRPr="006D6C12">
        <w:rPr>
          <w:lang w:val="pl-PL"/>
        </w:rPr>
        <w:t>sali.</w:t>
      </w:r>
    </w:p>
    <w:p w:rsidR="00F278FD" w:rsidRDefault="00F278FD" w:rsidP="00F278FD">
      <w:pPr>
        <w:pStyle w:val="Nagwek2"/>
        <w:tabs>
          <w:tab w:val="left" w:pos="339"/>
        </w:tabs>
        <w:ind w:left="0"/>
        <w:jc w:val="both"/>
        <w:rPr>
          <w:lang w:val="pl-PL"/>
        </w:rPr>
      </w:pPr>
    </w:p>
    <w:p w:rsidR="00F278FD" w:rsidRPr="006D6C12" w:rsidRDefault="00F278FD" w:rsidP="00F278FD">
      <w:pPr>
        <w:pStyle w:val="Nagwek2"/>
        <w:tabs>
          <w:tab w:val="left" w:pos="339"/>
        </w:tabs>
        <w:ind w:left="0"/>
        <w:jc w:val="both"/>
        <w:rPr>
          <w:b w:val="0"/>
          <w:bCs w:val="0"/>
          <w:lang w:val="pl-PL"/>
        </w:rPr>
      </w:pPr>
      <w:r w:rsidRPr="006D6C12">
        <w:rPr>
          <w:lang w:val="pl-PL"/>
        </w:rPr>
        <w:t>Symulacja parametrów</w:t>
      </w:r>
      <w:r w:rsidRPr="006D6C12">
        <w:rPr>
          <w:spacing w:val="-16"/>
          <w:lang w:val="pl-PL"/>
        </w:rPr>
        <w:t xml:space="preserve"> </w:t>
      </w:r>
      <w:r w:rsidRPr="006D6C12">
        <w:rPr>
          <w:lang w:val="pl-PL"/>
        </w:rPr>
        <w:t>akustycznych</w:t>
      </w:r>
    </w:p>
    <w:p w:rsidR="00F278FD" w:rsidRPr="006D6C12" w:rsidRDefault="00F278FD" w:rsidP="00F278FD">
      <w:pPr>
        <w:pStyle w:val="Tekstpodstawowy"/>
        <w:ind w:left="0" w:right="115"/>
        <w:jc w:val="both"/>
        <w:rPr>
          <w:rFonts w:cs="Calibri"/>
          <w:lang w:val="pl-PL"/>
        </w:rPr>
      </w:pPr>
      <w:r w:rsidRPr="006D6C12">
        <w:rPr>
          <w:lang w:val="pl-PL"/>
        </w:rPr>
        <w:t>W procesie projektowania należy przeprowadzić symulację opartą na modelach numerycznych pola akustycznego. Symulatory są narzędziem weryfikującym poprawność rozwiązania wnętrza z punktu widzenia akustyki. Pozwalają na określenie projektowych parametrów akustycznych dla wirtualnie stworzonej</w:t>
      </w:r>
      <w:r w:rsidRPr="006D6C12">
        <w:rPr>
          <w:spacing w:val="-8"/>
          <w:lang w:val="pl-PL"/>
        </w:rPr>
        <w:t xml:space="preserve"> </w:t>
      </w:r>
      <w:r w:rsidRPr="006D6C12">
        <w:rPr>
          <w:lang w:val="pl-PL"/>
        </w:rPr>
        <w:t>sali.</w:t>
      </w:r>
    </w:p>
    <w:p w:rsidR="00F278FD" w:rsidRDefault="00F278FD" w:rsidP="00F278FD">
      <w:pPr>
        <w:pStyle w:val="Nagwek2"/>
        <w:tabs>
          <w:tab w:val="left" w:pos="339"/>
        </w:tabs>
        <w:ind w:left="0"/>
        <w:jc w:val="both"/>
        <w:rPr>
          <w:lang w:val="pl-PL"/>
        </w:rPr>
      </w:pPr>
    </w:p>
    <w:p w:rsidR="00F278FD" w:rsidRPr="006D6C12" w:rsidRDefault="00F278FD" w:rsidP="00F278FD">
      <w:pPr>
        <w:pStyle w:val="Nagwek2"/>
        <w:tabs>
          <w:tab w:val="left" w:pos="339"/>
        </w:tabs>
        <w:ind w:left="0"/>
        <w:jc w:val="both"/>
        <w:rPr>
          <w:rFonts w:cs="Calibri"/>
          <w:b w:val="0"/>
          <w:bCs w:val="0"/>
          <w:lang w:val="pl-PL"/>
        </w:rPr>
      </w:pPr>
      <w:r w:rsidRPr="006D6C12">
        <w:rPr>
          <w:lang w:val="pl-PL"/>
        </w:rPr>
        <w:t>Opis ustrojów akustycznych sali</w:t>
      </w:r>
      <w:r w:rsidRPr="006D6C12">
        <w:rPr>
          <w:spacing w:val="-23"/>
          <w:lang w:val="pl-PL"/>
        </w:rPr>
        <w:t xml:space="preserve"> </w:t>
      </w:r>
      <w:r w:rsidRPr="006D6C12">
        <w:rPr>
          <w:lang w:val="pl-PL"/>
        </w:rPr>
        <w:t>Kinowej</w:t>
      </w:r>
    </w:p>
    <w:p w:rsidR="00F278FD" w:rsidRPr="006D6C12" w:rsidRDefault="00F278FD" w:rsidP="00F278FD">
      <w:pPr>
        <w:pStyle w:val="Tekstpodstawowy"/>
        <w:ind w:left="0"/>
        <w:jc w:val="both"/>
        <w:rPr>
          <w:rFonts w:cs="Calibri"/>
          <w:lang w:val="pl-PL"/>
        </w:rPr>
      </w:pPr>
      <w:r w:rsidRPr="006D6C12">
        <w:rPr>
          <w:lang w:val="pl-PL"/>
        </w:rPr>
        <w:t>Dokładny opis ustrojów poszczególnych ścian</w:t>
      </w:r>
      <w:r w:rsidRPr="006D6C12">
        <w:rPr>
          <w:spacing w:val="-5"/>
          <w:lang w:val="pl-PL"/>
        </w:rPr>
        <w:t xml:space="preserve"> </w:t>
      </w:r>
      <w:r w:rsidRPr="006D6C12">
        <w:rPr>
          <w:lang w:val="pl-PL"/>
        </w:rPr>
        <w:t>sali</w:t>
      </w:r>
    </w:p>
    <w:p w:rsidR="00F278FD" w:rsidRPr="006D6C12" w:rsidRDefault="00F278FD" w:rsidP="00F278FD">
      <w:pPr>
        <w:pStyle w:val="Akapitzlist"/>
        <w:widowControl w:val="0"/>
        <w:numPr>
          <w:ilvl w:val="0"/>
          <w:numId w:val="7"/>
        </w:numPr>
        <w:tabs>
          <w:tab w:val="left" w:pos="335"/>
        </w:tabs>
        <w:spacing w:after="0" w:line="240" w:lineRule="auto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Ściany boczne powinny być złożone z 3 różnych ustrojów</w:t>
      </w:r>
      <w:r w:rsidRPr="006D6C12">
        <w:rPr>
          <w:rFonts w:ascii="Calibri" w:hAnsi="Calibri"/>
          <w:spacing w:val="-14"/>
        </w:rPr>
        <w:t xml:space="preserve"> </w:t>
      </w:r>
      <w:r w:rsidRPr="006D6C12">
        <w:rPr>
          <w:rFonts w:ascii="Calibri" w:hAnsi="Calibri"/>
        </w:rPr>
        <w:t>akustycznych:</w:t>
      </w:r>
    </w:p>
    <w:p w:rsidR="00F278FD" w:rsidRPr="006D6C12" w:rsidRDefault="00F278FD" w:rsidP="00F278FD">
      <w:pPr>
        <w:pStyle w:val="Akapitzlist"/>
        <w:widowControl w:val="0"/>
        <w:numPr>
          <w:ilvl w:val="1"/>
          <w:numId w:val="7"/>
        </w:numPr>
        <w:tabs>
          <w:tab w:val="left" w:pos="837"/>
        </w:tabs>
        <w:spacing w:after="0" w:line="240" w:lineRule="auto"/>
        <w:ind w:right="305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absorbera szerokopasmowego o grubości min. 5 cm, wykonanego z wełny mineralnej o gęstości min 50 kg/m³ przysłoniętego specjalistyczną tkaniną przezroczystą akustycznie.</w:t>
      </w:r>
    </w:p>
    <w:p w:rsidR="00F278FD" w:rsidRPr="006D6C12" w:rsidRDefault="00F278FD" w:rsidP="00F278FD">
      <w:pPr>
        <w:pStyle w:val="Akapitzlist"/>
        <w:widowControl w:val="0"/>
        <w:numPr>
          <w:ilvl w:val="1"/>
          <w:numId w:val="7"/>
        </w:numPr>
        <w:tabs>
          <w:tab w:val="left" w:pos="837"/>
        </w:tabs>
        <w:spacing w:after="0" w:line="240" w:lineRule="auto"/>
        <w:ind w:right="227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ustroju akustycznego odbijającego, złożonego z tkaniny przezroczystej akustycznie w ożebrowaniu drewnianym lub stelażu metalowym, rozwieszonej nad ścianą masywną w celu zachowania odpowiedniego czasu</w:t>
      </w:r>
      <w:r w:rsidRPr="006D6C12">
        <w:rPr>
          <w:rFonts w:ascii="Calibri" w:hAnsi="Calibri"/>
          <w:spacing w:val="-4"/>
        </w:rPr>
        <w:t xml:space="preserve"> </w:t>
      </w:r>
      <w:r w:rsidRPr="006D6C12">
        <w:rPr>
          <w:rFonts w:ascii="Calibri" w:hAnsi="Calibri"/>
        </w:rPr>
        <w:t>pogłosu.</w:t>
      </w:r>
    </w:p>
    <w:p w:rsidR="00F278FD" w:rsidRPr="006D6C12" w:rsidRDefault="00F278FD" w:rsidP="00F278FD">
      <w:pPr>
        <w:pStyle w:val="Akapitzlist"/>
        <w:widowControl w:val="0"/>
        <w:numPr>
          <w:ilvl w:val="1"/>
          <w:numId w:val="7"/>
        </w:numPr>
        <w:tabs>
          <w:tab w:val="left" w:pos="837"/>
        </w:tabs>
        <w:spacing w:after="0" w:line="240" w:lineRule="auto"/>
        <w:ind w:right="257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cokołu systemowego wykonanego z wykładziny o gramaturze 700 gr/m²,. Cokół powinien być rozłożony od podłogi do wysokości 1,2 m. W celu minimalizacji zjawiska echa trzepoczącego, należy pod wykładziną cokołu zastosować płytę GK o grubości</w:t>
      </w:r>
      <w:r w:rsidRPr="006D6C12">
        <w:rPr>
          <w:rFonts w:ascii="Calibri" w:hAnsi="Calibri"/>
          <w:spacing w:val="-23"/>
        </w:rPr>
        <w:t xml:space="preserve"> </w:t>
      </w:r>
      <w:r w:rsidRPr="006D6C12">
        <w:rPr>
          <w:rFonts w:ascii="Calibri" w:hAnsi="Calibri"/>
        </w:rPr>
        <w:t>12,5mm, ułożoną pod kątem - skierowaną w stronę podłogi. Szczegółową propozycję wykonania cokołów przy ciągach komunikacyjnych przedstawia rysunek w załączniku</w:t>
      </w:r>
      <w:r w:rsidRPr="006D6C12">
        <w:rPr>
          <w:rFonts w:ascii="Calibri" w:hAnsi="Calibri"/>
          <w:spacing w:val="-12"/>
        </w:rPr>
        <w:t xml:space="preserve"> </w:t>
      </w:r>
      <w:r w:rsidRPr="006D6C12">
        <w:rPr>
          <w:rFonts w:ascii="Calibri" w:hAnsi="Calibri"/>
        </w:rPr>
        <w:t>5.</w:t>
      </w:r>
    </w:p>
    <w:p w:rsidR="00F278FD" w:rsidRPr="006D6C12" w:rsidRDefault="00F278FD" w:rsidP="00F278FD">
      <w:pPr>
        <w:pStyle w:val="Tekstpodstawowy"/>
        <w:numPr>
          <w:ilvl w:val="0"/>
          <w:numId w:val="7"/>
        </w:numPr>
        <w:ind w:right="113"/>
        <w:jc w:val="both"/>
        <w:rPr>
          <w:lang w:val="pl-PL"/>
        </w:rPr>
      </w:pPr>
      <w:r w:rsidRPr="006D6C12">
        <w:rPr>
          <w:lang w:val="pl-PL"/>
        </w:rPr>
        <w:t>Ustroje akustyczne pochłaniające i odbijające powinny być układane naprzemiennie. Ponadto, aby uniknąć zjawiska echa trzepoczącego, na przeciwległych ścianach lewej i prawej bryty ustroju akustycznego należy rozstawiać pod kątem. Poszczególne bryty z ustrojami akustycznymi pochłaniającymi i odbijającymi powinny być równomiernie rozłożone co ok. 1,4 m. Szczegółowe rozmieszczenie ustrojów akustycznych zostaną pokazane w projekcie akustyki</w:t>
      </w:r>
      <w:r w:rsidRPr="006D6C12">
        <w:rPr>
          <w:spacing w:val="-12"/>
          <w:lang w:val="pl-PL"/>
        </w:rPr>
        <w:t xml:space="preserve"> </w:t>
      </w:r>
      <w:r w:rsidRPr="006D6C12">
        <w:rPr>
          <w:lang w:val="pl-PL"/>
        </w:rPr>
        <w:t>wnętrz.</w:t>
      </w:r>
    </w:p>
    <w:p w:rsidR="00F278FD" w:rsidRPr="006D6C12" w:rsidRDefault="00F278FD" w:rsidP="00F278FD">
      <w:pPr>
        <w:pStyle w:val="Akapitzlist"/>
        <w:widowControl w:val="0"/>
        <w:numPr>
          <w:ilvl w:val="0"/>
          <w:numId w:val="7"/>
        </w:numPr>
        <w:tabs>
          <w:tab w:val="left" w:pos="371"/>
        </w:tabs>
        <w:spacing w:after="0" w:line="240" w:lineRule="auto"/>
        <w:ind w:right="120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 xml:space="preserve">Ścianę tylną należy pokryć systemem ustrojów akustycznych </w:t>
      </w:r>
      <w:proofErr w:type="spellStart"/>
      <w:r w:rsidRPr="006D6C12">
        <w:rPr>
          <w:rFonts w:ascii="Calibri" w:hAnsi="Calibri"/>
        </w:rPr>
        <w:t>Soundcheck</w:t>
      </w:r>
      <w:proofErr w:type="spellEnd"/>
      <w:r w:rsidRPr="006D6C12">
        <w:rPr>
          <w:rFonts w:ascii="Calibri" w:hAnsi="Calibri"/>
        </w:rPr>
        <w:t>, wykonanych z wełny mineralnej o grubości 10 cm i gęstości min. 50 kg/m³. Wielkość ustroju zostanie określona w projekcie akustyki</w:t>
      </w:r>
      <w:r w:rsidRPr="006D6C12">
        <w:rPr>
          <w:rFonts w:ascii="Calibri" w:hAnsi="Calibri"/>
          <w:spacing w:val="-6"/>
        </w:rPr>
        <w:t xml:space="preserve"> </w:t>
      </w:r>
      <w:r w:rsidRPr="006D6C12">
        <w:rPr>
          <w:rFonts w:ascii="Calibri" w:hAnsi="Calibri"/>
        </w:rPr>
        <w:t>wnętrz.</w:t>
      </w:r>
    </w:p>
    <w:p w:rsidR="00F278FD" w:rsidRPr="006D6C12" w:rsidRDefault="00F278FD" w:rsidP="00F278FD">
      <w:pPr>
        <w:pStyle w:val="Akapitzlist"/>
        <w:widowControl w:val="0"/>
        <w:numPr>
          <w:ilvl w:val="0"/>
          <w:numId w:val="7"/>
        </w:numPr>
        <w:tabs>
          <w:tab w:val="left" w:pos="386"/>
        </w:tabs>
        <w:spacing w:after="0" w:line="266" w:lineRule="exact"/>
        <w:ind w:right="116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Na całej powierzchni sufitu należy zamontować system akustyczny w oparciu o panele silnie odbijające dźwięk naprzemiennie z materiałem pochłaniającym dźwięk.</w:t>
      </w:r>
    </w:p>
    <w:p w:rsidR="00F278FD" w:rsidRPr="006D6C12" w:rsidRDefault="00F278FD" w:rsidP="00F278FD">
      <w:pPr>
        <w:pStyle w:val="Akapitzlist"/>
        <w:widowControl w:val="0"/>
        <w:numPr>
          <w:ilvl w:val="0"/>
          <w:numId w:val="7"/>
        </w:numPr>
        <w:tabs>
          <w:tab w:val="left" w:pos="335"/>
        </w:tabs>
        <w:spacing w:after="0" w:line="240" w:lineRule="auto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Podłogi i ciągi komunikacyjne należy wykleić grubą wykładziną dywanową.</w:t>
      </w:r>
    </w:p>
    <w:p w:rsidR="00F278FD" w:rsidRPr="006D6C12" w:rsidRDefault="00F278FD" w:rsidP="00F278FD">
      <w:pPr>
        <w:pStyle w:val="Akapitzlist"/>
        <w:widowControl w:val="0"/>
        <w:numPr>
          <w:ilvl w:val="0"/>
          <w:numId w:val="7"/>
        </w:numPr>
        <w:tabs>
          <w:tab w:val="left" w:pos="374"/>
        </w:tabs>
        <w:spacing w:after="0" w:line="240" w:lineRule="auto"/>
        <w:ind w:right="99"/>
        <w:contextualSpacing w:val="0"/>
        <w:jc w:val="both"/>
        <w:rPr>
          <w:rFonts w:ascii="Calibri" w:eastAsia="Calibri" w:hAnsi="Calibri" w:cs="Calibri"/>
        </w:rPr>
      </w:pPr>
      <w:r w:rsidRPr="006D6C12">
        <w:rPr>
          <w:rFonts w:ascii="Calibri" w:hAnsi="Calibri"/>
        </w:rPr>
        <w:t>Na widowni należy zamontować fotele kinowe z grubym obiciem o współczynniku pochłaniania dźwięku zbliżonym dla foteli zajętych przez widownię jak i foteli</w:t>
      </w:r>
      <w:r w:rsidRPr="006D6C12">
        <w:rPr>
          <w:rFonts w:ascii="Calibri" w:hAnsi="Calibri"/>
          <w:spacing w:val="-18"/>
        </w:rPr>
        <w:t xml:space="preserve"> </w:t>
      </w:r>
      <w:r w:rsidRPr="006D6C12">
        <w:rPr>
          <w:rFonts w:ascii="Calibri" w:hAnsi="Calibri"/>
        </w:rPr>
        <w:t>pustych.</w:t>
      </w:r>
    </w:p>
    <w:sectPr w:rsidR="00F278FD" w:rsidRPr="006D6C12" w:rsidSect="00046549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94F21"/>
    <w:multiLevelType w:val="hybridMultilevel"/>
    <w:tmpl w:val="F6E0ABC8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020235"/>
    <w:multiLevelType w:val="hybridMultilevel"/>
    <w:tmpl w:val="A4802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2B7D9B"/>
    <w:multiLevelType w:val="hybridMultilevel"/>
    <w:tmpl w:val="DC6CCC88"/>
    <w:lvl w:ilvl="0" w:tplc="32065D10">
      <w:start w:val="1"/>
      <w:numFmt w:val="decimal"/>
      <w:lvlText w:val="%1."/>
      <w:lvlJc w:val="left"/>
      <w:pPr>
        <w:ind w:left="0" w:hanging="219"/>
      </w:pPr>
      <w:rPr>
        <w:rFonts w:ascii="Calibri" w:eastAsia="Calibri" w:hAnsi="Calibri" w:cs="Times New Roman" w:hint="default"/>
        <w:w w:val="100"/>
        <w:sz w:val="22"/>
        <w:szCs w:val="22"/>
      </w:rPr>
    </w:lvl>
    <w:lvl w:ilvl="1" w:tplc="919235C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w w:val="100"/>
        <w:sz w:val="22"/>
        <w:szCs w:val="22"/>
      </w:rPr>
    </w:lvl>
    <w:lvl w:ilvl="2" w:tplc="516853DA">
      <w:start w:val="1"/>
      <w:numFmt w:val="bullet"/>
      <w:lvlText w:val="•"/>
      <w:lvlJc w:val="left"/>
      <w:pPr>
        <w:ind w:left="1664" w:hanging="360"/>
      </w:pPr>
    </w:lvl>
    <w:lvl w:ilvl="3" w:tplc="3B1E5A5E">
      <w:start w:val="1"/>
      <w:numFmt w:val="bullet"/>
      <w:lvlText w:val="•"/>
      <w:lvlJc w:val="left"/>
      <w:pPr>
        <w:ind w:left="2605" w:hanging="360"/>
      </w:pPr>
    </w:lvl>
    <w:lvl w:ilvl="4" w:tplc="613A88A8">
      <w:start w:val="1"/>
      <w:numFmt w:val="bullet"/>
      <w:lvlText w:val="•"/>
      <w:lvlJc w:val="left"/>
      <w:pPr>
        <w:ind w:left="3546" w:hanging="360"/>
      </w:pPr>
    </w:lvl>
    <w:lvl w:ilvl="5" w:tplc="155E3F0A">
      <w:start w:val="1"/>
      <w:numFmt w:val="bullet"/>
      <w:lvlText w:val="•"/>
      <w:lvlJc w:val="left"/>
      <w:pPr>
        <w:ind w:left="4486" w:hanging="360"/>
      </w:pPr>
    </w:lvl>
    <w:lvl w:ilvl="6" w:tplc="B4C45278">
      <w:start w:val="1"/>
      <w:numFmt w:val="bullet"/>
      <w:lvlText w:val="•"/>
      <w:lvlJc w:val="left"/>
      <w:pPr>
        <w:ind w:left="5427" w:hanging="360"/>
      </w:pPr>
    </w:lvl>
    <w:lvl w:ilvl="7" w:tplc="20F81C2E">
      <w:start w:val="1"/>
      <w:numFmt w:val="bullet"/>
      <w:lvlText w:val="•"/>
      <w:lvlJc w:val="left"/>
      <w:pPr>
        <w:ind w:left="6368" w:hanging="360"/>
      </w:pPr>
    </w:lvl>
    <w:lvl w:ilvl="8" w:tplc="8116A508">
      <w:start w:val="1"/>
      <w:numFmt w:val="bullet"/>
      <w:lvlText w:val="•"/>
      <w:lvlJc w:val="left"/>
      <w:pPr>
        <w:ind w:left="7308" w:hanging="360"/>
      </w:pPr>
    </w:lvl>
  </w:abstractNum>
  <w:abstractNum w:abstractNumId="3" w15:restartNumberingAfterBreak="0">
    <w:nsid w:val="3E2D1826"/>
    <w:multiLevelType w:val="hybridMultilevel"/>
    <w:tmpl w:val="23A4A888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8D08FA"/>
    <w:multiLevelType w:val="hybridMultilevel"/>
    <w:tmpl w:val="0BB207E4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B852DC"/>
    <w:multiLevelType w:val="hybridMultilevel"/>
    <w:tmpl w:val="1814FA40"/>
    <w:lvl w:ilvl="0" w:tplc="EE9434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D45773"/>
    <w:multiLevelType w:val="multilevel"/>
    <w:tmpl w:val="B9DE2300"/>
    <w:lvl w:ilvl="0">
      <w:start w:val="1"/>
      <w:numFmt w:val="decimal"/>
      <w:lvlText w:val="%1."/>
      <w:lvlJc w:val="left"/>
      <w:pPr>
        <w:ind w:left="336" w:hanging="221"/>
      </w:pPr>
      <w:rPr>
        <w:rFonts w:ascii="Calibri" w:eastAsia="Calibri" w:hAnsi="Calibri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ascii="Calibri" w:eastAsia="Calibri" w:hAnsi="Calibri" w:cs="Times New Roman" w:hint="default"/>
        <w:b/>
        <w:bCs/>
        <w:spacing w:val="-2"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1478" w:hanging="391"/>
      </w:pPr>
    </w:lvl>
    <w:lvl w:ilvl="3">
      <w:start w:val="1"/>
      <w:numFmt w:val="bullet"/>
      <w:lvlText w:val="•"/>
      <w:lvlJc w:val="left"/>
      <w:pPr>
        <w:ind w:left="2456" w:hanging="391"/>
      </w:pPr>
    </w:lvl>
    <w:lvl w:ilvl="4">
      <w:start w:val="1"/>
      <w:numFmt w:val="bullet"/>
      <w:lvlText w:val="•"/>
      <w:lvlJc w:val="left"/>
      <w:pPr>
        <w:ind w:left="3435" w:hanging="391"/>
      </w:pPr>
    </w:lvl>
    <w:lvl w:ilvl="5">
      <w:start w:val="1"/>
      <w:numFmt w:val="bullet"/>
      <w:lvlText w:val="•"/>
      <w:lvlJc w:val="left"/>
      <w:pPr>
        <w:ind w:left="4413" w:hanging="391"/>
      </w:pPr>
    </w:lvl>
    <w:lvl w:ilvl="6">
      <w:start w:val="1"/>
      <w:numFmt w:val="bullet"/>
      <w:lvlText w:val="•"/>
      <w:lvlJc w:val="left"/>
      <w:pPr>
        <w:ind w:left="5392" w:hanging="391"/>
      </w:pPr>
    </w:lvl>
    <w:lvl w:ilvl="7">
      <w:start w:val="1"/>
      <w:numFmt w:val="bullet"/>
      <w:lvlText w:val="•"/>
      <w:lvlJc w:val="left"/>
      <w:pPr>
        <w:ind w:left="6370" w:hanging="391"/>
      </w:pPr>
    </w:lvl>
    <w:lvl w:ilvl="8">
      <w:start w:val="1"/>
      <w:numFmt w:val="bullet"/>
      <w:lvlText w:val="•"/>
      <w:lvlJc w:val="left"/>
      <w:pPr>
        <w:ind w:left="7349" w:hanging="391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549"/>
    <w:rsid w:val="00046549"/>
    <w:rsid w:val="00052E70"/>
    <w:rsid w:val="002059CC"/>
    <w:rsid w:val="003C5316"/>
    <w:rsid w:val="005F1CC6"/>
    <w:rsid w:val="006D6C12"/>
    <w:rsid w:val="00850F7E"/>
    <w:rsid w:val="00A154CA"/>
    <w:rsid w:val="00B539EE"/>
    <w:rsid w:val="00E975B6"/>
    <w:rsid w:val="00F2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E4D67-699C-4848-905D-647F629F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78FD"/>
    <w:rPr>
      <w:rFonts w:eastAsiaTheme="minorEastAsia"/>
    </w:rPr>
  </w:style>
  <w:style w:type="paragraph" w:styleId="Nagwek1">
    <w:name w:val="heading 1"/>
    <w:basedOn w:val="Normalny"/>
    <w:link w:val="Nagwek1Znak"/>
    <w:uiPriority w:val="1"/>
    <w:qFormat/>
    <w:rsid w:val="006D6C12"/>
    <w:pPr>
      <w:widowControl w:val="0"/>
      <w:spacing w:after="0" w:line="240" w:lineRule="auto"/>
      <w:ind w:left="116"/>
      <w:outlineLvl w:val="0"/>
    </w:pPr>
    <w:rPr>
      <w:rFonts w:ascii="Calibri" w:eastAsia="Calibri" w:hAnsi="Calibri"/>
      <w:sz w:val="23"/>
      <w:szCs w:val="23"/>
      <w:lang w:val="en-US"/>
    </w:rPr>
  </w:style>
  <w:style w:type="paragraph" w:styleId="Nagwek2">
    <w:name w:val="heading 2"/>
    <w:basedOn w:val="Normalny"/>
    <w:link w:val="Nagwek2Znak"/>
    <w:uiPriority w:val="1"/>
    <w:unhideWhenUsed/>
    <w:qFormat/>
    <w:rsid w:val="006D6C12"/>
    <w:pPr>
      <w:widowControl w:val="0"/>
      <w:spacing w:after="0" w:line="240" w:lineRule="auto"/>
      <w:ind w:left="116"/>
      <w:outlineLvl w:val="1"/>
    </w:pPr>
    <w:rPr>
      <w:rFonts w:ascii="Calibri" w:eastAsia="Calibri" w:hAnsi="Calibri"/>
      <w:b/>
      <w:bCs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465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654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6D6C12"/>
    <w:rPr>
      <w:rFonts w:ascii="Calibri" w:eastAsia="Calibri" w:hAnsi="Calibri"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rsid w:val="006D6C12"/>
    <w:rPr>
      <w:rFonts w:ascii="Calibri" w:eastAsia="Calibri" w:hAnsi="Calibri"/>
      <w:b/>
      <w:bCs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6D6C12"/>
    <w:pPr>
      <w:widowControl w:val="0"/>
      <w:spacing w:after="0" w:line="240" w:lineRule="auto"/>
      <w:ind w:left="116"/>
    </w:pPr>
    <w:rPr>
      <w:rFonts w:ascii="Calibri" w:eastAsia="Calibri" w:hAnsi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6D6C12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A1DA9-A49B-4B7C-A6A1-EF45F38BB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2194</Words>
  <Characters>13166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Filipowska</dc:creator>
  <cp:keywords/>
  <dc:description/>
  <cp:lastModifiedBy>mlasek</cp:lastModifiedBy>
  <cp:revision>3</cp:revision>
  <dcterms:created xsi:type="dcterms:W3CDTF">2017-06-29T07:28:00Z</dcterms:created>
  <dcterms:modified xsi:type="dcterms:W3CDTF">2017-06-30T07:48:00Z</dcterms:modified>
</cp:coreProperties>
</file>